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A0584" w14:textId="77777777" w:rsidR="000A1791" w:rsidRPr="008F711C" w:rsidRDefault="00537CDF" w:rsidP="008F711C">
      <w:pPr>
        <w:pStyle w:val="a5"/>
        <w:spacing w:before="163"/>
        <w:ind w:left="1220"/>
        <w:jc w:val="left"/>
        <w:rPr>
          <w:b/>
        </w:rPr>
      </w:pPr>
      <w:r w:rsidRPr="008F711C">
        <w:rPr>
          <w:b/>
        </w:rPr>
        <w:t>Примерная тематика выпускных квалификационных работ</w:t>
      </w:r>
    </w:p>
    <w:p w14:paraId="2A624C95" w14:textId="6263CF3C" w:rsidR="000A1791" w:rsidRPr="008F711C" w:rsidRDefault="00537CDF" w:rsidP="008F711C">
      <w:pPr>
        <w:pStyle w:val="a5"/>
        <w:ind w:left="0" w:right="-1"/>
        <w:jc w:val="center"/>
        <w:rPr>
          <w:b/>
        </w:rPr>
      </w:pPr>
      <w:r w:rsidRPr="008F711C">
        <w:rPr>
          <w:b/>
        </w:rPr>
        <w:t>Направление 38.03.01 «Экономика», профиль «Финансы и кредит»</w:t>
      </w:r>
      <w:r w:rsidR="00D005F2">
        <w:rPr>
          <w:b/>
        </w:rPr>
        <w:t>, «Финансы и банковское дело»</w:t>
      </w:r>
    </w:p>
    <w:p w14:paraId="1820A960" w14:textId="77777777" w:rsidR="000A1791" w:rsidRPr="008F711C" w:rsidRDefault="000A1791" w:rsidP="008F711C">
      <w:pPr>
        <w:pStyle w:val="a5"/>
        <w:ind w:left="0" w:right="-1"/>
        <w:jc w:val="center"/>
      </w:pPr>
    </w:p>
    <w:p w14:paraId="380E9906" w14:textId="77777777" w:rsidR="000A1791" w:rsidRPr="008F711C" w:rsidRDefault="000A1791" w:rsidP="008F711C">
      <w:pPr>
        <w:pStyle w:val="a5"/>
        <w:ind w:left="0" w:right="-1"/>
        <w:jc w:val="center"/>
      </w:pPr>
    </w:p>
    <w:p w14:paraId="23114A28" w14:textId="77777777" w:rsidR="000A1791" w:rsidRPr="000317AD" w:rsidRDefault="00537CDF" w:rsidP="008F711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680"/>
        <w:jc w:val="both"/>
        <w:textAlignment w:val="baseline"/>
        <w:rPr>
          <w:sz w:val="28"/>
          <w:szCs w:val="28"/>
        </w:rPr>
      </w:pPr>
      <w:bookmarkStart w:id="0" w:name="_Hlk177037230"/>
      <w:r w:rsidRPr="000317AD">
        <w:rPr>
          <w:sz w:val="28"/>
          <w:szCs w:val="28"/>
        </w:rPr>
        <w:t>Организация финансов предприятий малого бизнеса (на примере конкретного предприятия).</w:t>
      </w:r>
    </w:p>
    <w:p w14:paraId="6956A53D" w14:textId="77777777" w:rsidR="000A1791" w:rsidRPr="000317AD" w:rsidRDefault="00537CDF" w:rsidP="008F711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680"/>
        <w:jc w:val="both"/>
        <w:rPr>
          <w:sz w:val="28"/>
          <w:szCs w:val="28"/>
        </w:rPr>
      </w:pPr>
      <w:r w:rsidRPr="000317AD">
        <w:rPr>
          <w:sz w:val="28"/>
          <w:szCs w:val="28"/>
        </w:rPr>
        <w:t>Анализ и управление финансовыми ресурсами организации (на примере конкретной организации).</w:t>
      </w:r>
    </w:p>
    <w:p w14:paraId="14B5BE47" w14:textId="77777777" w:rsidR="000A1791" w:rsidRPr="000317AD" w:rsidRDefault="00537CDF" w:rsidP="008F711C">
      <w:pPr>
        <w:pStyle w:val="a9"/>
        <w:numPr>
          <w:ilvl w:val="0"/>
          <w:numId w:val="1"/>
        </w:numPr>
        <w:tabs>
          <w:tab w:val="left" w:pos="851"/>
        </w:tabs>
        <w:ind w:left="0" w:right="97" w:firstLine="680"/>
        <w:rPr>
          <w:sz w:val="28"/>
          <w:szCs w:val="28"/>
        </w:rPr>
      </w:pPr>
      <w:r w:rsidRPr="000317AD">
        <w:rPr>
          <w:sz w:val="28"/>
          <w:szCs w:val="28"/>
        </w:rPr>
        <w:t>Анализ собственного и заемного капитала организации (на примере конкретной организации).</w:t>
      </w:r>
    </w:p>
    <w:p w14:paraId="1B517134" w14:textId="0F8501FF" w:rsidR="000A1791" w:rsidRPr="000317AD" w:rsidRDefault="00537CDF" w:rsidP="008F711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680"/>
        <w:jc w:val="both"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>Управление собственным капиталом организации на примере конкретной компании).</w:t>
      </w:r>
      <w:r w:rsidR="00C245CB" w:rsidRPr="000317AD">
        <w:t xml:space="preserve"> </w:t>
      </w:r>
    </w:p>
    <w:p w14:paraId="7F4BBE3B" w14:textId="61DC1FF2" w:rsidR="00160E4B" w:rsidRPr="000317AD" w:rsidRDefault="00160E4B" w:rsidP="00160E4B">
      <w:pPr>
        <w:pStyle w:val="a9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0317AD">
        <w:rPr>
          <w:sz w:val="28"/>
          <w:szCs w:val="28"/>
        </w:rPr>
        <w:t>Механизм финансирования социально ориентированной некоммерческой организации (на примере конкретной организации).</w:t>
      </w:r>
    </w:p>
    <w:p w14:paraId="1E709AD7" w14:textId="50D5E66B" w:rsidR="000A1791" w:rsidRPr="000317AD" w:rsidRDefault="00537CDF" w:rsidP="008F711C">
      <w:pPr>
        <w:pStyle w:val="a9"/>
        <w:numPr>
          <w:ilvl w:val="0"/>
          <w:numId w:val="1"/>
        </w:numPr>
        <w:tabs>
          <w:tab w:val="left" w:pos="851"/>
        </w:tabs>
        <w:ind w:left="0" w:right="97" w:firstLine="680"/>
        <w:rPr>
          <w:sz w:val="28"/>
          <w:szCs w:val="28"/>
        </w:rPr>
      </w:pPr>
      <w:r w:rsidRPr="000317AD">
        <w:rPr>
          <w:sz w:val="28"/>
          <w:szCs w:val="28"/>
        </w:rPr>
        <w:t>Анализ и управление активами организации (на примере конкретной организации).</w:t>
      </w:r>
    </w:p>
    <w:p w14:paraId="60F0FC1D" w14:textId="77777777" w:rsidR="000A1791" w:rsidRPr="000317AD" w:rsidRDefault="00537CDF" w:rsidP="008F711C">
      <w:pPr>
        <w:pStyle w:val="a9"/>
        <w:numPr>
          <w:ilvl w:val="0"/>
          <w:numId w:val="1"/>
        </w:numPr>
        <w:tabs>
          <w:tab w:val="left" w:pos="851"/>
        </w:tabs>
        <w:ind w:left="0" w:right="97" w:firstLine="680"/>
        <w:rPr>
          <w:sz w:val="28"/>
          <w:szCs w:val="28"/>
        </w:rPr>
      </w:pPr>
      <w:r w:rsidRPr="000317AD">
        <w:rPr>
          <w:sz w:val="28"/>
          <w:szCs w:val="28"/>
        </w:rPr>
        <w:t>Управление внеоборотными активами организации (на примере конкретной организации).</w:t>
      </w:r>
    </w:p>
    <w:p w14:paraId="2AA0A120" w14:textId="1355E77F" w:rsidR="00C245CB" w:rsidRPr="000317AD" w:rsidRDefault="00C245CB" w:rsidP="008F711C">
      <w:pPr>
        <w:pStyle w:val="a9"/>
        <w:numPr>
          <w:ilvl w:val="0"/>
          <w:numId w:val="1"/>
        </w:numPr>
        <w:tabs>
          <w:tab w:val="left" w:pos="851"/>
        </w:tabs>
        <w:ind w:left="0" w:right="97" w:firstLine="680"/>
        <w:rPr>
          <w:sz w:val="28"/>
          <w:szCs w:val="28"/>
        </w:rPr>
      </w:pPr>
      <w:r w:rsidRPr="000317AD">
        <w:rPr>
          <w:sz w:val="28"/>
          <w:szCs w:val="28"/>
        </w:rPr>
        <w:t>Анализ и оценка эффективности использования основных средств организации (на примере конкретной организации).</w:t>
      </w:r>
    </w:p>
    <w:p w14:paraId="049474EB" w14:textId="2A46F50B" w:rsidR="00C245CB" w:rsidRPr="000317AD" w:rsidRDefault="00C245CB" w:rsidP="008F711C">
      <w:pPr>
        <w:pStyle w:val="a9"/>
        <w:numPr>
          <w:ilvl w:val="0"/>
          <w:numId w:val="1"/>
        </w:numPr>
        <w:tabs>
          <w:tab w:val="left" w:pos="851"/>
        </w:tabs>
        <w:ind w:left="0" w:right="97" w:firstLine="680"/>
        <w:rPr>
          <w:sz w:val="28"/>
          <w:szCs w:val="28"/>
        </w:rPr>
      </w:pPr>
      <w:r w:rsidRPr="000317AD">
        <w:rPr>
          <w:sz w:val="28"/>
          <w:szCs w:val="28"/>
        </w:rPr>
        <w:t>Анализ формирования и использования оборотных средств организации (на примере конкретной организации)</w:t>
      </w:r>
      <w:r w:rsidRPr="000317AD">
        <w:t>.</w:t>
      </w:r>
    </w:p>
    <w:p w14:paraId="1804CA1A" w14:textId="77777777" w:rsidR="000A1791" w:rsidRPr="000317AD" w:rsidRDefault="00537CDF" w:rsidP="008F711C">
      <w:pPr>
        <w:pStyle w:val="a9"/>
        <w:numPr>
          <w:ilvl w:val="0"/>
          <w:numId w:val="1"/>
        </w:numPr>
        <w:tabs>
          <w:tab w:val="left" w:pos="851"/>
        </w:tabs>
        <w:ind w:left="0" w:right="97" w:firstLine="680"/>
        <w:rPr>
          <w:sz w:val="28"/>
          <w:szCs w:val="28"/>
        </w:rPr>
      </w:pPr>
      <w:r w:rsidRPr="000317AD">
        <w:rPr>
          <w:sz w:val="28"/>
          <w:szCs w:val="28"/>
        </w:rPr>
        <w:t>Планирование потребности в оборотных средствах организации (на примере конкретной организации).</w:t>
      </w:r>
    </w:p>
    <w:p w14:paraId="6C79DC38" w14:textId="77777777" w:rsidR="000A1791" w:rsidRPr="000317AD" w:rsidRDefault="00537CDF" w:rsidP="008F711C">
      <w:pPr>
        <w:pStyle w:val="a9"/>
        <w:numPr>
          <w:ilvl w:val="0"/>
          <w:numId w:val="1"/>
        </w:numPr>
        <w:tabs>
          <w:tab w:val="left" w:pos="851"/>
        </w:tabs>
        <w:ind w:left="0" w:right="97" w:firstLine="680"/>
        <w:rPr>
          <w:sz w:val="28"/>
          <w:szCs w:val="28"/>
        </w:rPr>
      </w:pPr>
      <w:r w:rsidRPr="000317AD">
        <w:rPr>
          <w:sz w:val="28"/>
          <w:szCs w:val="28"/>
        </w:rPr>
        <w:t>Анализ и управление дебиторской и кредиторской задолженностью организации (на примере конкретной организации).</w:t>
      </w:r>
    </w:p>
    <w:p w14:paraId="29DF75CD" w14:textId="77777777" w:rsidR="00C245CB" w:rsidRPr="000317AD" w:rsidRDefault="00C245CB" w:rsidP="008F711C">
      <w:pPr>
        <w:pStyle w:val="a9"/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680"/>
        <w:contextualSpacing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>Управление доходами и расходами коммерческой организации (на примере конкретной коммерческой организации).</w:t>
      </w:r>
      <w:bookmarkStart w:id="1" w:name="_Hlk70603960"/>
      <w:bookmarkEnd w:id="1"/>
    </w:p>
    <w:p w14:paraId="0658E410" w14:textId="0875DAB9" w:rsidR="00160E4B" w:rsidRPr="000317AD" w:rsidRDefault="00160E4B" w:rsidP="008F711C">
      <w:pPr>
        <w:pStyle w:val="a9"/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680"/>
        <w:contextualSpacing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lastRenderedPageBreak/>
        <w:t>Управление доходами и расходами социально ориентированной некоммерческой организации (на примере конкретной некоммерческой организации).</w:t>
      </w:r>
    </w:p>
    <w:p w14:paraId="39357EA0" w14:textId="77777777" w:rsidR="000A1791" w:rsidRPr="000317AD" w:rsidRDefault="00537CDF" w:rsidP="008F711C">
      <w:pPr>
        <w:pStyle w:val="a9"/>
        <w:numPr>
          <w:ilvl w:val="0"/>
          <w:numId w:val="1"/>
        </w:numPr>
        <w:tabs>
          <w:tab w:val="left" w:pos="851"/>
          <w:tab w:val="left" w:pos="1134"/>
        </w:tabs>
        <w:ind w:left="0" w:right="97" w:firstLine="709"/>
        <w:rPr>
          <w:sz w:val="28"/>
          <w:szCs w:val="28"/>
        </w:rPr>
      </w:pPr>
      <w:r w:rsidRPr="000317AD">
        <w:rPr>
          <w:sz w:val="28"/>
          <w:szCs w:val="28"/>
        </w:rPr>
        <w:t>Управление затратами, объемом продаж и прибылью организации (на примере конкретной организации).</w:t>
      </w:r>
    </w:p>
    <w:p w14:paraId="54479DB6" w14:textId="77777777" w:rsidR="000A1791" w:rsidRPr="000317AD" w:rsidRDefault="00537CDF" w:rsidP="008F711C">
      <w:pPr>
        <w:pStyle w:val="a9"/>
        <w:numPr>
          <w:ilvl w:val="0"/>
          <w:numId w:val="1"/>
        </w:numPr>
        <w:tabs>
          <w:tab w:val="left" w:pos="851"/>
          <w:tab w:val="left" w:pos="1134"/>
        </w:tabs>
        <w:ind w:left="0" w:right="97" w:firstLine="709"/>
        <w:rPr>
          <w:sz w:val="28"/>
          <w:szCs w:val="28"/>
        </w:rPr>
      </w:pPr>
      <w:r w:rsidRPr="000317AD">
        <w:rPr>
          <w:sz w:val="28"/>
          <w:szCs w:val="28"/>
        </w:rPr>
        <w:t>Анализ формирования, распределения и использования финансовых результатов деятельности организации (на примере конкретной организации).</w:t>
      </w:r>
    </w:p>
    <w:p w14:paraId="5A7A23EF" w14:textId="77777777" w:rsidR="000A1791" w:rsidRPr="000317AD" w:rsidRDefault="00537CDF" w:rsidP="008F711C">
      <w:pPr>
        <w:pStyle w:val="a9"/>
        <w:numPr>
          <w:ilvl w:val="0"/>
          <w:numId w:val="1"/>
        </w:numPr>
        <w:tabs>
          <w:tab w:val="left" w:pos="851"/>
          <w:tab w:val="left" w:pos="1134"/>
        </w:tabs>
        <w:ind w:left="0" w:right="97" w:firstLine="709"/>
        <w:rPr>
          <w:sz w:val="28"/>
          <w:szCs w:val="28"/>
        </w:rPr>
      </w:pPr>
      <w:r w:rsidRPr="000317AD">
        <w:rPr>
          <w:sz w:val="28"/>
          <w:szCs w:val="28"/>
        </w:rPr>
        <w:t>Оценка и прогнозирование прибыли организации (на примере конкретной организации).</w:t>
      </w:r>
    </w:p>
    <w:p w14:paraId="1AC17958" w14:textId="77777777" w:rsidR="000A1791" w:rsidRPr="000317AD" w:rsidRDefault="00537CDF" w:rsidP="008F711C">
      <w:pPr>
        <w:pStyle w:val="a9"/>
        <w:numPr>
          <w:ilvl w:val="0"/>
          <w:numId w:val="1"/>
        </w:numPr>
        <w:tabs>
          <w:tab w:val="left" w:pos="851"/>
        </w:tabs>
        <w:ind w:left="0" w:right="97" w:firstLine="680"/>
        <w:rPr>
          <w:sz w:val="28"/>
          <w:szCs w:val="28"/>
        </w:rPr>
      </w:pPr>
      <w:r w:rsidRPr="000317AD">
        <w:rPr>
          <w:sz w:val="28"/>
          <w:szCs w:val="28"/>
        </w:rPr>
        <w:t>Резервы и пути повышения рентабельности организации (на примере конкретной организации).</w:t>
      </w:r>
    </w:p>
    <w:p w14:paraId="0B58DF91" w14:textId="77777777" w:rsidR="000A1791" w:rsidRPr="000317AD" w:rsidRDefault="00537CDF" w:rsidP="008F711C">
      <w:pPr>
        <w:pStyle w:val="a9"/>
        <w:numPr>
          <w:ilvl w:val="0"/>
          <w:numId w:val="1"/>
        </w:numPr>
        <w:tabs>
          <w:tab w:val="left" w:pos="851"/>
        </w:tabs>
        <w:ind w:left="0" w:right="97" w:firstLine="680"/>
        <w:rPr>
          <w:sz w:val="28"/>
          <w:szCs w:val="28"/>
        </w:rPr>
      </w:pPr>
      <w:r w:rsidRPr="000317AD">
        <w:rPr>
          <w:sz w:val="28"/>
          <w:szCs w:val="28"/>
        </w:rPr>
        <w:t>Оценка эффективности управления денежными потоками организации (на примере конкретной организации).</w:t>
      </w:r>
    </w:p>
    <w:p w14:paraId="7991F3FE" w14:textId="77777777" w:rsidR="000A1791" w:rsidRPr="000317AD" w:rsidRDefault="00537CDF" w:rsidP="008F711C">
      <w:pPr>
        <w:pStyle w:val="a9"/>
        <w:numPr>
          <w:ilvl w:val="0"/>
          <w:numId w:val="1"/>
        </w:numPr>
        <w:tabs>
          <w:tab w:val="left" w:pos="851"/>
        </w:tabs>
        <w:ind w:left="0" w:right="97" w:firstLine="680"/>
        <w:rPr>
          <w:sz w:val="28"/>
          <w:szCs w:val="28"/>
        </w:rPr>
      </w:pPr>
      <w:r w:rsidRPr="000317AD">
        <w:rPr>
          <w:sz w:val="28"/>
          <w:szCs w:val="28"/>
        </w:rPr>
        <w:t>Анализ и оценка инвестиционной привлекательности организации (на примере конкретной организации).</w:t>
      </w:r>
    </w:p>
    <w:p w14:paraId="6F4A4916" w14:textId="77777777" w:rsidR="000A1791" w:rsidRPr="000317AD" w:rsidRDefault="00537CDF" w:rsidP="008F711C">
      <w:pPr>
        <w:pStyle w:val="a9"/>
        <w:widowControl/>
        <w:numPr>
          <w:ilvl w:val="0"/>
          <w:numId w:val="1"/>
        </w:numPr>
        <w:tabs>
          <w:tab w:val="left" w:pos="851"/>
          <w:tab w:val="left" w:pos="1276"/>
        </w:tabs>
        <w:ind w:left="0" w:right="97" w:firstLine="709"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 xml:space="preserve"> Оценка эффективности инвестиционного проекта организации (на примере конкретной организации). </w:t>
      </w:r>
    </w:p>
    <w:p w14:paraId="0FE2CDE7" w14:textId="77777777" w:rsidR="000A1791" w:rsidRPr="000317AD" w:rsidRDefault="00537CDF" w:rsidP="008F711C">
      <w:pPr>
        <w:pStyle w:val="a9"/>
        <w:numPr>
          <w:ilvl w:val="0"/>
          <w:numId w:val="1"/>
        </w:numPr>
        <w:tabs>
          <w:tab w:val="left" w:pos="851"/>
        </w:tabs>
        <w:ind w:left="0" w:right="97" w:firstLine="709"/>
        <w:rPr>
          <w:sz w:val="28"/>
          <w:szCs w:val="28"/>
        </w:rPr>
      </w:pPr>
      <w:r w:rsidRPr="000317AD">
        <w:rPr>
          <w:sz w:val="28"/>
          <w:szCs w:val="28"/>
        </w:rPr>
        <w:t>Анализ эффективности проекта государственно-частного партнерства (на примере конкретной организации)</w:t>
      </w:r>
    </w:p>
    <w:p w14:paraId="0B01C29B" w14:textId="77777777" w:rsidR="000A1791" w:rsidRPr="000317AD" w:rsidRDefault="00537CDF" w:rsidP="008F711C">
      <w:pPr>
        <w:pStyle w:val="a9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0317AD">
        <w:rPr>
          <w:sz w:val="28"/>
          <w:szCs w:val="28"/>
        </w:rPr>
        <w:t>Моделирование и оценка эффективности инвестиционных проектов в области цифровой трансформации компании (на примере конкретной компании).</w:t>
      </w:r>
    </w:p>
    <w:p w14:paraId="2716827F" w14:textId="28F9A855" w:rsidR="00160E4B" w:rsidRPr="000317AD" w:rsidRDefault="00160E4B" w:rsidP="00160E4B">
      <w:pPr>
        <w:pStyle w:val="a9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0317AD">
        <w:rPr>
          <w:sz w:val="28"/>
          <w:szCs w:val="28"/>
        </w:rPr>
        <w:t>Оценка эффективности проектов социального предпринимательства (на примере конкретной некоммерческой организации).</w:t>
      </w:r>
    </w:p>
    <w:p w14:paraId="12BA6578" w14:textId="77777777" w:rsidR="00C245CB" w:rsidRPr="000317AD" w:rsidRDefault="00C245CB" w:rsidP="00CF49AC">
      <w:pPr>
        <w:widowControl/>
        <w:numPr>
          <w:ilvl w:val="0"/>
          <w:numId w:val="1"/>
        </w:numPr>
        <w:tabs>
          <w:tab w:val="left" w:pos="851"/>
          <w:tab w:val="left" w:pos="1276"/>
        </w:tabs>
        <w:ind w:left="0" w:right="97" w:firstLine="709"/>
        <w:jc w:val="both"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>Оценка и пути снижения инвестиционных рисков организации (на примере конкретной организации).</w:t>
      </w:r>
    </w:p>
    <w:p w14:paraId="2993827D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  <w:tab w:val="left" w:pos="9923"/>
        </w:tabs>
        <w:ind w:left="0" w:right="97" w:firstLine="709"/>
        <w:jc w:val="both"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>Оценка финансового состояния организации и разработка мероприятий по его улучшению (на примере конкретной организации).</w:t>
      </w:r>
    </w:p>
    <w:p w14:paraId="1B01AFC8" w14:textId="77777777" w:rsidR="000A1791" w:rsidRPr="000317AD" w:rsidRDefault="00537CDF" w:rsidP="00CF49AC">
      <w:pPr>
        <w:pStyle w:val="a9"/>
        <w:numPr>
          <w:ilvl w:val="0"/>
          <w:numId w:val="1"/>
        </w:numPr>
        <w:tabs>
          <w:tab w:val="left" w:pos="851"/>
          <w:tab w:val="left" w:pos="1276"/>
        </w:tabs>
        <w:ind w:left="0" w:right="97" w:firstLine="709"/>
        <w:rPr>
          <w:sz w:val="28"/>
          <w:szCs w:val="28"/>
        </w:rPr>
      </w:pPr>
      <w:r w:rsidRPr="000317AD">
        <w:rPr>
          <w:sz w:val="28"/>
          <w:szCs w:val="28"/>
        </w:rPr>
        <w:t>Оценка и прогнозирование потенциального банкротства организации (на примере конкретной организации).</w:t>
      </w:r>
    </w:p>
    <w:p w14:paraId="0F4FEAF9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709"/>
        <w:jc w:val="both"/>
        <w:rPr>
          <w:sz w:val="28"/>
          <w:szCs w:val="28"/>
        </w:rPr>
      </w:pPr>
      <w:r w:rsidRPr="000317AD">
        <w:rPr>
          <w:sz w:val="28"/>
          <w:szCs w:val="28"/>
        </w:rPr>
        <w:lastRenderedPageBreak/>
        <w:t>Анализ и управление платежеспособностью и ликвидностью организации (на примере конкретной организации).</w:t>
      </w:r>
    </w:p>
    <w:p w14:paraId="07F60E8E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709"/>
        <w:jc w:val="both"/>
        <w:textAlignment w:val="baseline"/>
        <w:rPr>
          <w:sz w:val="28"/>
          <w:szCs w:val="28"/>
        </w:rPr>
      </w:pPr>
      <w:r w:rsidRPr="000317AD">
        <w:rPr>
          <w:spacing w:val="-3"/>
          <w:sz w:val="28"/>
          <w:szCs w:val="28"/>
        </w:rPr>
        <w:t xml:space="preserve">Финансовая устойчивость организации и пути ее укрепления </w:t>
      </w:r>
      <w:r w:rsidRPr="000317AD">
        <w:rPr>
          <w:sz w:val="28"/>
          <w:szCs w:val="28"/>
        </w:rPr>
        <w:t>(на примере конкретной организации).</w:t>
      </w:r>
    </w:p>
    <w:p w14:paraId="5A5339F3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  <w:tab w:val="left" w:pos="9923"/>
        </w:tabs>
        <w:ind w:left="0" w:right="97" w:firstLine="709"/>
        <w:jc w:val="both"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>Оценка кредитоспособности организации (на примере конкретной коммерческой организации).</w:t>
      </w:r>
    </w:p>
    <w:p w14:paraId="7798627B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709"/>
        <w:jc w:val="both"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>Организация финансового менеджмента организации и пути повышения его эффективности (на примере конкретной организации).</w:t>
      </w:r>
    </w:p>
    <w:p w14:paraId="2C06FD0C" w14:textId="77777777" w:rsidR="000A1791" w:rsidRPr="000317AD" w:rsidRDefault="00537CDF" w:rsidP="00CF49AC">
      <w:pPr>
        <w:pStyle w:val="a9"/>
        <w:numPr>
          <w:ilvl w:val="0"/>
          <w:numId w:val="1"/>
        </w:numPr>
        <w:tabs>
          <w:tab w:val="left" w:pos="851"/>
        </w:tabs>
        <w:ind w:left="0" w:right="97" w:firstLine="709"/>
        <w:rPr>
          <w:sz w:val="28"/>
          <w:szCs w:val="28"/>
        </w:rPr>
      </w:pPr>
      <w:bookmarkStart w:id="2" w:name="_Hlk70604199"/>
      <w:r w:rsidRPr="000317AD">
        <w:rPr>
          <w:sz w:val="28"/>
          <w:szCs w:val="28"/>
        </w:rPr>
        <w:t xml:space="preserve">Оценка эффективности </w:t>
      </w:r>
      <w:bookmarkEnd w:id="2"/>
      <w:r w:rsidRPr="000317AD">
        <w:rPr>
          <w:sz w:val="28"/>
          <w:szCs w:val="28"/>
        </w:rPr>
        <w:t>финансовой политики организации (на примере конкретной организации).</w:t>
      </w:r>
    </w:p>
    <w:p w14:paraId="11F64DB4" w14:textId="77777777" w:rsidR="00CF49AC" w:rsidRPr="000317AD" w:rsidRDefault="00CF49AC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709"/>
        <w:contextualSpacing/>
        <w:jc w:val="both"/>
        <w:textAlignment w:val="baseline"/>
        <w:rPr>
          <w:sz w:val="28"/>
          <w:szCs w:val="28"/>
        </w:rPr>
      </w:pPr>
      <w:bookmarkStart w:id="3" w:name="_Hlk706041991"/>
      <w:r w:rsidRPr="000317AD">
        <w:rPr>
          <w:sz w:val="28"/>
          <w:szCs w:val="28"/>
        </w:rPr>
        <w:t xml:space="preserve">Оценка и прогнозирование инвестиционной стоимости компании на основе доходного подхода (на примере конкретной организации). </w:t>
      </w:r>
    </w:p>
    <w:p w14:paraId="034200EB" w14:textId="538E41F8" w:rsidR="000A1791" w:rsidRPr="00D005F2" w:rsidRDefault="00CF49AC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709"/>
        <w:contextualSpacing/>
        <w:jc w:val="both"/>
        <w:textAlignment w:val="baseline"/>
        <w:rPr>
          <w:sz w:val="28"/>
          <w:szCs w:val="28"/>
        </w:rPr>
      </w:pPr>
      <w:r w:rsidRPr="00D005F2">
        <w:rPr>
          <w:sz w:val="28"/>
          <w:szCs w:val="28"/>
        </w:rPr>
        <w:t xml:space="preserve">  </w:t>
      </w:r>
      <w:bookmarkEnd w:id="3"/>
      <w:r w:rsidR="00537CDF" w:rsidRPr="00D005F2">
        <w:rPr>
          <w:sz w:val="28"/>
          <w:szCs w:val="28"/>
        </w:rPr>
        <w:t>Факторинг как метод финансирования российских компаний (на примере конкретной компании).</w:t>
      </w:r>
    </w:p>
    <w:p w14:paraId="1629FB55" w14:textId="77777777" w:rsidR="000A1791" w:rsidRPr="000317AD" w:rsidRDefault="00537CDF" w:rsidP="00CF49AC">
      <w:pPr>
        <w:pStyle w:val="a9"/>
        <w:widowControl/>
        <w:numPr>
          <w:ilvl w:val="0"/>
          <w:numId w:val="1"/>
        </w:numPr>
        <w:tabs>
          <w:tab w:val="left" w:pos="851"/>
          <w:tab w:val="left" w:pos="1276"/>
        </w:tabs>
        <w:ind w:left="0" w:right="97" w:firstLine="709"/>
        <w:contextualSpacing/>
        <w:rPr>
          <w:sz w:val="28"/>
          <w:szCs w:val="28"/>
        </w:rPr>
      </w:pPr>
      <w:r w:rsidRPr="000317AD">
        <w:rPr>
          <w:sz w:val="28"/>
          <w:szCs w:val="28"/>
        </w:rPr>
        <w:t>Франчайзинг как альтернативный источник финансирования малого бизнеса (на примере конкретной организации).</w:t>
      </w:r>
    </w:p>
    <w:p w14:paraId="639BBC0D" w14:textId="77777777" w:rsidR="000A1791" w:rsidRPr="000317AD" w:rsidRDefault="00537CDF" w:rsidP="00CF49AC">
      <w:pPr>
        <w:pStyle w:val="a9"/>
        <w:numPr>
          <w:ilvl w:val="0"/>
          <w:numId w:val="1"/>
        </w:numPr>
        <w:tabs>
          <w:tab w:val="left" w:pos="851"/>
        </w:tabs>
        <w:ind w:left="0" w:right="97" w:firstLine="709"/>
        <w:rPr>
          <w:sz w:val="28"/>
          <w:szCs w:val="28"/>
        </w:rPr>
      </w:pPr>
      <w:r w:rsidRPr="000317AD">
        <w:rPr>
          <w:sz w:val="28"/>
          <w:szCs w:val="28"/>
        </w:rPr>
        <w:t>Форфейтинг в системе управления дебиторской задолженностью организации (на примере конкретной организации).</w:t>
      </w:r>
    </w:p>
    <w:p w14:paraId="32B779D7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709"/>
        <w:jc w:val="both"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>Механизм формирования налогового менеджмента организации (на примере конкретной организации).</w:t>
      </w:r>
    </w:p>
    <w:p w14:paraId="43C9F09E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709"/>
        <w:jc w:val="both"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>Анализ и оценка влияния налоговых платежей на финансовые результаты деятельности организации (на примере конкретной организации).</w:t>
      </w:r>
    </w:p>
    <w:p w14:paraId="3520AA20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709"/>
        <w:jc w:val="both"/>
        <w:textAlignment w:val="baseline"/>
      </w:pPr>
      <w:r w:rsidRPr="000317AD">
        <w:rPr>
          <w:sz w:val="28"/>
          <w:szCs w:val="28"/>
        </w:rPr>
        <w:t>Оценка налоговой нагрузки организации в системе налогового планирования (на примере конкретной организации).</w:t>
      </w:r>
    </w:p>
    <w:p w14:paraId="412B6777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30"/>
          <w:tab w:val="left" w:pos="851"/>
          <w:tab w:val="left" w:pos="1276"/>
        </w:tabs>
        <w:ind w:left="0" w:right="97" w:firstLine="709"/>
        <w:jc w:val="both"/>
        <w:textAlignment w:val="baseline"/>
      </w:pPr>
      <w:r w:rsidRPr="000317AD">
        <w:rPr>
          <w:sz w:val="28"/>
          <w:szCs w:val="28"/>
        </w:rPr>
        <w:t>Совмещение режимов налогообложения как инструмент оптимизации налоговой нагрузки (на примере конкретной организации).</w:t>
      </w:r>
    </w:p>
    <w:p w14:paraId="392D11E7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30"/>
          <w:tab w:val="left" w:pos="851"/>
          <w:tab w:val="left" w:pos="1276"/>
        </w:tabs>
        <w:ind w:left="0" w:right="97" w:firstLine="709"/>
        <w:jc w:val="both"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>Сравнительный анализ специальных налоговых режимов для малых предприятий (на примере конкретной организации).</w:t>
      </w:r>
    </w:p>
    <w:p w14:paraId="1114A450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30"/>
          <w:tab w:val="left" w:pos="851"/>
          <w:tab w:val="left" w:pos="1276"/>
        </w:tabs>
        <w:ind w:left="0" w:right="97" w:firstLine="709"/>
        <w:jc w:val="both"/>
        <w:rPr>
          <w:sz w:val="28"/>
          <w:szCs w:val="28"/>
        </w:rPr>
      </w:pPr>
      <w:r w:rsidRPr="000317AD">
        <w:rPr>
          <w:sz w:val="28"/>
          <w:szCs w:val="28"/>
        </w:rPr>
        <w:t>Анализ платежей и расчетов предприятия с бюджетом (на примере предприятия).</w:t>
      </w:r>
    </w:p>
    <w:p w14:paraId="5FF038EC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30"/>
          <w:tab w:val="left" w:pos="851"/>
          <w:tab w:val="left" w:pos="1276"/>
        </w:tabs>
        <w:ind w:left="0" w:right="97" w:firstLine="709"/>
        <w:jc w:val="both"/>
        <w:rPr>
          <w:sz w:val="28"/>
          <w:szCs w:val="28"/>
        </w:rPr>
      </w:pPr>
      <w:r w:rsidRPr="000317AD">
        <w:rPr>
          <w:sz w:val="28"/>
          <w:szCs w:val="28"/>
        </w:rPr>
        <w:t>Анализ и оценка налоговых поступлений юридических лиц (на примере налоговой инспекции).</w:t>
      </w:r>
    </w:p>
    <w:p w14:paraId="1DC4A7DA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30"/>
          <w:tab w:val="left" w:pos="851"/>
          <w:tab w:val="left" w:pos="1276"/>
        </w:tabs>
        <w:ind w:left="0" w:right="97" w:firstLine="709"/>
        <w:jc w:val="both"/>
        <w:rPr>
          <w:sz w:val="28"/>
          <w:szCs w:val="28"/>
        </w:rPr>
      </w:pPr>
      <w:r w:rsidRPr="000317AD">
        <w:rPr>
          <w:sz w:val="28"/>
          <w:szCs w:val="28"/>
        </w:rPr>
        <w:t>Анализ и оценка налоговых поступлений физических лиц (на примере налоговой инспекции).</w:t>
      </w:r>
    </w:p>
    <w:p w14:paraId="1C68222D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30"/>
          <w:tab w:val="left" w:pos="851"/>
          <w:tab w:val="left" w:pos="1276"/>
        </w:tabs>
        <w:ind w:left="0" w:right="97" w:firstLine="709"/>
        <w:jc w:val="both"/>
        <w:rPr>
          <w:sz w:val="28"/>
          <w:szCs w:val="28"/>
        </w:rPr>
      </w:pPr>
      <w:r w:rsidRPr="000317AD">
        <w:rPr>
          <w:sz w:val="28"/>
          <w:szCs w:val="28"/>
        </w:rPr>
        <w:t>Анализ эффективности налогового контроля (на примере налоговой инспекции).</w:t>
      </w:r>
    </w:p>
    <w:p w14:paraId="61F3D2DD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709"/>
        <w:jc w:val="both"/>
        <w:textAlignment w:val="baseline"/>
      </w:pPr>
      <w:r w:rsidRPr="000317AD">
        <w:rPr>
          <w:sz w:val="28"/>
          <w:szCs w:val="28"/>
        </w:rPr>
        <w:t>Налоговое администрирование в условиях развития информационных технологий (на примере налоговой инспекции).</w:t>
      </w:r>
    </w:p>
    <w:p w14:paraId="61ED632A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709"/>
        <w:jc w:val="both"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>Управление финансовыми ресурсами страховой организации (на примере конкретной страховой организации).</w:t>
      </w:r>
    </w:p>
    <w:p w14:paraId="6B023E43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709"/>
        <w:jc w:val="both"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>Анализ инвестиционной деятельности страховых организаций (на примере конкретной страховой организации).</w:t>
      </w:r>
    </w:p>
    <w:p w14:paraId="501B81C8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709"/>
        <w:jc w:val="both"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>Финансовое планирование в страховой организации (на примере конкретной страховой организации).</w:t>
      </w:r>
    </w:p>
    <w:p w14:paraId="4A4EAFCB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709"/>
        <w:jc w:val="both"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>Анализ и оценка финансового состояния страховой организации (на примере конкретной страховой организации).</w:t>
      </w:r>
    </w:p>
    <w:p w14:paraId="47BAEC4B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709"/>
        <w:jc w:val="both"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>Анализ финансовых результатов деятельности страховой организации (на примере конкретной страховой организации).</w:t>
      </w:r>
    </w:p>
    <w:p w14:paraId="6907C226" w14:textId="77777777" w:rsidR="000A1791" w:rsidRPr="000317AD" w:rsidRDefault="00537CDF" w:rsidP="00CF49AC">
      <w:pPr>
        <w:pStyle w:val="a9"/>
        <w:widowControl/>
        <w:numPr>
          <w:ilvl w:val="0"/>
          <w:numId w:val="1"/>
        </w:numPr>
        <w:tabs>
          <w:tab w:val="left" w:pos="851"/>
        </w:tabs>
        <w:spacing w:line="276" w:lineRule="auto"/>
        <w:ind w:left="0" w:right="97" w:firstLine="709"/>
        <w:contextualSpacing/>
        <w:rPr>
          <w:sz w:val="28"/>
          <w:szCs w:val="28"/>
        </w:rPr>
      </w:pPr>
      <w:r w:rsidRPr="000317AD">
        <w:rPr>
          <w:sz w:val="28"/>
          <w:szCs w:val="28"/>
        </w:rPr>
        <w:t>Анализ платежеспособности и финансовой устойчивости страховой организации (на примере конкретной страховой организации).</w:t>
      </w:r>
      <w:r w:rsidRPr="000317AD">
        <w:t xml:space="preserve"> </w:t>
      </w:r>
    </w:p>
    <w:p w14:paraId="0CF6072E" w14:textId="45EA6221" w:rsidR="00C245CB" w:rsidRPr="000317AD" w:rsidRDefault="000745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Развитие новых технологий оказания финансовых услуг как фактор повышения кон</w:t>
      </w:r>
      <w:r w:rsidR="00116C0F" w:rsidRPr="000317AD">
        <w:rPr>
          <w:color w:val="auto"/>
          <w:spacing w:val="4"/>
          <w:sz w:val="28"/>
          <w:szCs w:val="28"/>
        </w:rPr>
        <w:t>ку</w:t>
      </w:r>
      <w:r w:rsidRPr="000317AD">
        <w:rPr>
          <w:color w:val="auto"/>
          <w:spacing w:val="4"/>
          <w:sz w:val="28"/>
          <w:szCs w:val="28"/>
        </w:rPr>
        <w:t>рентоспособности российских коммерческих банков</w:t>
      </w:r>
      <w:r w:rsidR="00C245CB" w:rsidRPr="000317AD">
        <w:rPr>
          <w:color w:val="auto"/>
          <w:spacing w:val="4"/>
          <w:sz w:val="28"/>
          <w:szCs w:val="28"/>
        </w:rPr>
        <w:t xml:space="preserve"> (на примере конкретного банка).</w:t>
      </w:r>
    </w:p>
    <w:p w14:paraId="440B3D93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Анализ эффективности управления ресурсами коммерческого банка (на примере конкретного банка).</w:t>
      </w:r>
    </w:p>
    <w:p w14:paraId="6B8F80F7" w14:textId="0D734E2A" w:rsidR="00262C46" w:rsidRPr="000317AD" w:rsidRDefault="000745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Анализ и оценка кредитного портфеля российского коммерческого банка с использованием современных финансовых технологий</w:t>
      </w:r>
      <w:r w:rsidR="00262C46" w:rsidRPr="000317AD">
        <w:rPr>
          <w:color w:val="auto"/>
          <w:spacing w:val="4"/>
          <w:sz w:val="28"/>
          <w:szCs w:val="28"/>
        </w:rPr>
        <w:t xml:space="preserve"> (на примере конкретного банка). </w:t>
      </w:r>
    </w:p>
    <w:p w14:paraId="7E46090A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Анализ пассивных операций коммерческого банка (на примере конкретного банка).</w:t>
      </w:r>
    </w:p>
    <w:p w14:paraId="28F3ECA8" w14:textId="3AB5DD18" w:rsidR="00C245CB" w:rsidRPr="000317AD" w:rsidRDefault="000745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 xml:space="preserve">Депозитная политика коммерческих банков в условиях цифровой трансформации банковской деятельности </w:t>
      </w:r>
      <w:r w:rsidR="00C245CB" w:rsidRPr="000317AD">
        <w:rPr>
          <w:color w:val="auto"/>
          <w:spacing w:val="4"/>
          <w:sz w:val="28"/>
          <w:szCs w:val="28"/>
        </w:rPr>
        <w:t>(на примере конкретного банка).</w:t>
      </w:r>
    </w:p>
    <w:p w14:paraId="263DBF74" w14:textId="68C7CFFE" w:rsidR="00537CDF" w:rsidRPr="000317AD" w:rsidRDefault="000745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 xml:space="preserve">Особенности оценки кредитного риска заемщиков с использованием цифровых технологий </w:t>
      </w:r>
      <w:r w:rsidR="00537CDF" w:rsidRPr="000317AD">
        <w:rPr>
          <w:color w:val="auto"/>
          <w:spacing w:val="4"/>
          <w:sz w:val="28"/>
          <w:szCs w:val="28"/>
        </w:rPr>
        <w:t>(на примере конкретного банка).</w:t>
      </w:r>
    </w:p>
    <w:p w14:paraId="29E69B4F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Анализ формирования прибыли коммерческого банка (на примере конкретного банка).</w:t>
      </w:r>
    </w:p>
    <w:p w14:paraId="0B351D22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Ипотечное кредитование в коммерческом банке: организация и перспективы развития (на примере конкретного банка).</w:t>
      </w:r>
    </w:p>
    <w:p w14:paraId="0FAB538F" w14:textId="604C742E" w:rsidR="00537CDF" w:rsidRPr="000317AD" w:rsidRDefault="000745DF" w:rsidP="00CF49AC">
      <w:pPr>
        <w:pStyle w:val="Default"/>
        <w:numPr>
          <w:ilvl w:val="0"/>
          <w:numId w:val="1"/>
        </w:numPr>
        <w:tabs>
          <w:tab w:val="left" w:pos="1276"/>
        </w:tabs>
        <w:ind w:left="-142" w:right="97" w:firstLine="710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 xml:space="preserve">Влияние цифровизации на организацию управления рисками коммерческих банков </w:t>
      </w:r>
      <w:r w:rsidR="00537CDF" w:rsidRPr="000317AD">
        <w:rPr>
          <w:color w:val="auto"/>
          <w:spacing w:val="4"/>
          <w:sz w:val="28"/>
          <w:szCs w:val="28"/>
        </w:rPr>
        <w:t>(на примере конкретного банка).</w:t>
      </w:r>
    </w:p>
    <w:p w14:paraId="3AB13CE3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 xml:space="preserve">Кредитная политика коммерческого банка: понятие, структура, соответствие принятым стандартам (на примере конкретного банка).  </w:t>
      </w:r>
    </w:p>
    <w:p w14:paraId="3C79A330" w14:textId="6EB18EDE" w:rsidR="00537CDF" w:rsidRPr="000317AD" w:rsidRDefault="000745DF" w:rsidP="00CF49AC">
      <w:pPr>
        <w:pStyle w:val="Default"/>
        <w:numPr>
          <w:ilvl w:val="0"/>
          <w:numId w:val="1"/>
        </w:numPr>
        <w:tabs>
          <w:tab w:val="left" w:pos="568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Использование цифровых технологий в кредитном процессе коммерческого банка</w:t>
      </w:r>
      <w:r w:rsidR="00537CDF" w:rsidRPr="000317AD">
        <w:rPr>
          <w:color w:val="auto"/>
          <w:spacing w:val="4"/>
          <w:sz w:val="28"/>
          <w:szCs w:val="28"/>
        </w:rPr>
        <w:t xml:space="preserve"> (на примере конкретного банка).</w:t>
      </w:r>
    </w:p>
    <w:p w14:paraId="2176304C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Кредитование физических лиц в коммерческом банке: организация и перспективы развития (на примере конкретного банка).</w:t>
      </w:r>
    </w:p>
    <w:p w14:paraId="4E278E81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Кредитование с помощью кредитных карт в коммерческом банке: организация и перспективы развития (на примере конкретного банка).</w:t>
      </w:r>
    </w:p>
    <w:p w14:paraId="5E92BBDC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Кредитование юридических лиц в коммерческом банке: организация, перспективы развития (на примере конкретного банка).</w:t>
      </w:r>
    </w:p>
    <w:p w14:paraId="3E3DCE53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Кредитование субъектов малого и среднего предпринимательства в коммерческом банке: организация и перспективы развития (на примере конкретного банка).</w:t>
      </w:r>
    </w:p>
    <w:p w14:paraId="6421131A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Особенности управления кредитным риском в современной банковской практике (на примере конкретного банка).</w:t>
      </w:r>
    </w:p>
    <w:p w14:paraId="63E6BB30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Организация работы коммерческого банка с крупными корпоративными клиентами (на примере конкретного банка).</w:t>
      </w:r>
    </w:p>
    <w:p w14:paraId="25A80C1D" w14:textId="525DFEA2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 xml:space="preserve">Организация работы коммерческого банка с физическими лицами (на примере конкретного банка) </w:t>
      </w:r>
    </w:p>
    <w:p w14:paraId="3AE568B0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Организация работы банка с проблемными заемщиками (на примере конкретного банка).</w:t>
      </w:r>
    </w:p>
    <w:p w14:paraId="0DEDEB9A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Организация расчётов с использованием платёжных карт в коммерческом банке (на примере конкретного банка).</w:t>
      </w:r>
    </w:p>
    <w:p w14:paraId="7B74273E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Организация работы в коммерческом банке с банковскими вкладами физических лиц (на примере конкретного банка).</w:t>
      </w:r>
    </w:p>
    <w:p w14:paraId="32126D7C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Расчётно-кассовое обслуживание в коммерческом банке (на примере конкретного банка).</w:t>
      </w:r>
    </w:p>
    <w:p w14:paraId="5CC4ADCF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Розничное кредитование в коммерческом банке (на примере конкретного банка).</w:t>
      </w:r>
    </w:p>
    <w:p w14:paraId="7003A1DC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Собственный капитал банка: понятие, структура и методы его оценки (на примере конкретного банка).</w:t>
      </w:r>
    </w:p>
    <w:p w14:paraId="566567B6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Современная практика управления кредитным портфелем коммерческого банка (на примере конкретного банка).</w:t>
      </w:r>
    </w:p>
    <w:p w14:paraId="0B489573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 xml:space="preserve">Современная практика оценки достаточности собственного капитала коммерческого банка (на примере конкретного банка).  </w:t>
      </w:r>
    </w:p>
    <w:p w14:paraId="7A9A1891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Современные методы управления доходностью активов в коммерческом банке (на примере конкретного банка).</w:t>
      </w:r>
    </w:p>
    <w:p w14:paraId="04AD70EF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 xml:space="preserve">Современные кредитные технологии коммерческих банков (на примере конкретного банка). </w:t>
      </w:r>
    </w:p>
    <w:p w14:paraId="0CD236DA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Технология работы с банковскими картами в кредитной организации (на примере конкретного банка).</w:t>
      </w:r>
    </w:p>
    <w:p w14:paraId="778EFB3F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Управление кредитным портфелем кредитной организации (на примере конкретного банка).</w:t>
      </w:r>
    </w:p>
    <w:p w14:paraId="4349869D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Управление портфелем ценных бумаг в коммерческом банке: проблемы и перспективы (на примере конкретного банка).</w:t>
      </w:r>
    </w:p>
    <w:p w14:paraId="76BE1012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Управление активными операциями коммерческого банка (на примере конкретного банка).</w:t>
      </w:r>
    </w:p>
    <w:p w14:paraId="747B76FA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Услуги коммерческих банков предприятиям малого и среднего бизнеса и перспективы их развития (на примере конкретного банка).</w:t>
      </w:r>
    </w:p>
    <w:p w14:paraId="3F903926" w14:textId="77777777" w:rsidR="00537CDF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Финансовая устойчивость коммерческих банков: основные факторы и способы оценки (на примере конкретного банка).</w:t>
      </w:r>
    </w:p>
    <w:p w14:paraId="6AEFCCB9" w14:textId="2886D1F9" w:rsidR="00262C46" w:rsidRPr="000317AD" w:rsidRDefault="00262C46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Электронные системы платежей для физических лиц в коммерческом банке (на примере конкретного банка).</w:t>
      </w:r>
    </w:p>
    <w:p w14:paraId="1AED490A" w14:textId="4B76F83A" w:rsidR="00537CDF" w:rsidRPr="000317AD" w:rsidRDefault="000745DF" w:rsidP="00CF49AC">
      <w:pPr>
        <w:pStyle w:val="Default"/>
        <w:numPr>
          <w:ilvl w:val="0"/>
          <w:numId w:val="1"/>
        </w:numPr>
        <w:tabs>
          <w:tab w:val="left" w:pos="568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Направления развития институтов банковской инфраструктуры в условиях цифровизации (на примере конкретной организации)</w:t>
      </w:r>
    </w:p>
    <w:p w14:paraId="47F49908" w14:textId="6B458AD4" w:rsidR="00262C46" w:rsidRPr="000317AD" w:rsidRDefault="00262C46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Региональная неоднородность доходов населения как фактор неравномерного роста инфляции.</w:t>
      </w:r>
    </w:p>
    <w:p w14:paraId="0D9F9802" w14:textId="77777777" w:rsidR="00262C46" w:rsidRPr="000317AD" w:rsidRDefault="00262C46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Деятельность Банка России по регулированию наличного денежного обращения.</w:t>
      </w:r>
    </w:p>
    <w:p w14:paraId="3E973EDF" w14:textId="77777777" w:rsidR="00262C46" w:rsidRPr="000317AD" w:rsidRDefault="00262C46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Анализ отечественной и международной практики противодействия организациям, имеющим в своей деятельности признаки «финансовой пирамиды».</w:t>
      </w:r>
    </w:p>
    <w:p w14:paraId="31261F76" w14:textId="77777777" w:rsidR="00D005F2" w:rsidRPr="00D005F2" w:rsidRDefault="00D005F2" w:rsidP="00D005F2">
      <w:pPr>
        <w:pStyle w:val="Default"/>
        <w:numPr>
          <w:ilvl w:val="0"/>
          <w:numId w:val="1"/>
        </w:numPr>
        <w:tabs>
          <w:tab w:val="left" w:pos="709"/>
          <w:tab w:val="left" w:pos="993"/>
        </w:tabs>
        <w:ind w:left="0" w:right="97" w:firstLine="568"/>
        <w:jc w:val="both"/>
        <w:rPr>
          <w:color w:val="auto"/>
          <w:sz w:val="28"/>
          <w:szCs w:val="28"/>
        </w:rPr>
      </w:pPr>
      <w:r w:rsidRPr="00D005F2">
        <w:rPr>
          <w:color w:val="auto"/>
          <w:sz w:val="28"/>
          <w:szCs w:val="28"/>
        </w:rPr>
        <w:t xml:space="preserve">Предоставление банковских услуг физическим лицам на основании договора потребительского кредитования </w:t>
      </w:r>
      <w:bookmarkStart w:id="4" w:name="_Hlk195630525"/>
      <w:r w:rsidRPr="00D005F2">
        <w:rPr>
          <w:color w:val="auto"/>
          <w:spacing w:val="4"/>
          <w:sz w:val="28"/>
          <w:szCs w:val="28"/>
        </w:rPr>
        <w:t>(на примере конкретного банка</w:t>
      </w:r>
      <w:bookmarkEnd w:id="4"/>
      <w:r w:rsidRPr="00D005F2">
        <w:rPr>
          <w:color w:val="auto"/>
          <w:spacing w:val="4"/>
          <w:sz w:val="28"/>
          <w:szCs w:val="28"/>
        </w:rPr>
        <w:t>).</w:t>
      </w:r>
    </w:p>
    <w:p w14:paraId="1E91CB42" w14:textId="77777777" w:rsidR="00D005F2" w:rsidRPr="00D005F2" w:rsidRDefault="00D005F2" w:rsidP="00D005F2">
      <w:pPr>
        <w:pStyle w:val="Default"/>
        <w:numPr>
          <w:ilvl w:val="0"/>
          <w:numId w:val="1"/>
        </w:numPr>
        <w:tabs>
          <w:tab w:val="left" w:pos="709"/>
          <w:tab w:val="left" w:pos="993"/>
        </w:tabs>
        <w:ind w:left="0" w:right="97" w:firstLine="568"/>
        <w:jc w:val="both"/>
        <w:rPr>
          <w:color w:val="auto"/>
          <w:sz w:val="28"/>
          <w:szCs w:val="28"/>
        </w:rPr>
      </w:pPr>
      <w:r w:rsidRPr="00D005F2">
        <w:rPr>
          <w:color w:val="auto"/>
          <w:sz w:val="28"/>
          <w:szCs w:val="28"/>
        </w:rPr>
        <w:t xml:space="preserve">Осуществление деятельности по взысканию задолженностей </w:t>
      </w:r>
      <w:r w:rsidRPr="00D005F2">
        <w:rPr>
          <w:color w:val="auto"/>
          <w:spacing w:val="4"/>
          <w:sz w:val="28"/>
          <w:szCs w:val="28"/>
        </w:rPr>
        <w:t>(на примере конкретного банка или коллекторского агентства).</w:t>
      </w:r>
    </w:p>
    <w:p w14:paraId="5A2F7133" w14:textId="77777777" w:rsidR="00D005F2" w:rsidRPr="00D005F2" w:rsidRDefault="00D005F2" w:rsidP="00D005F2">
      <w:pPr>
        <w:pStyle w:val="Default"/>
        <w:numPr>
          <w:ilvl w:val="0"/>
          <w:numId w:val="1"/>
        </w:numPr>
        <w:tabs>
          <w:tab w:val="left" w:pos="709"/>
          <w:tab w:val="left" w:pos="993"/>
        </w:tabs>
        <w:ind w:left="0" w:right="97" w:firstLine="568"/>
        <w:jc w:val="both"/>
        <w:rPr>
          <w:color w:val="auto"/>
          <w:sz w:val="28"/>
          <w:szCs w:val="28"/>
        </w:rPr>
      </w:pPr>
      <w:r w:rsidRPr="00D005F2">
        <w:rPr>
          <w:color w:val="auto"/>
          <w:spacing w:val="4"/>
          <w:sz w:val="28"/>
          <w:szCs w:val="28"/>
        </w:rPr>
        <w:t>Предоставление и продвижение услуг дистанционного банковского обслуживания (на примере конкретного банка).</w:t>
      </w:r>
    </w:p>
    <w:p w14:paraId="6916A3A4" w14:textId="77777777" w:rsidR="00D005F2" w:rsidRPr="00D005F2" w:rsidRDefault="00D005F2" w:rsidP="00D005F2">
      <w:pPr>
        <w:pStyle w:val="Default"/>
        <w:numPr>
          <w:ilvl w:val="0"/>
          <w:numId w:val="1"/>
        </w:numPr>
        <w:tabs>
          <w:tab w:val="left" w:pos="709"/>
          <w:tab w:val="left" w:pos="993"/>
        </w:tabs>
        <w:ind w:left="0" w:right="97" w:firstLine="568"/>
        <w:jc w:val="both"/>
        <w:rPr>
          <w:color w:val="auto"/>
          <w:sz w:val="28"/>
          <w:szCs w:val="28"/>
        </w:rPr>
      </w:pPr>
      <w:r w:rsidRPr="00D005F2">
        <w:rPr>
          <w:color w:val="auto"/>
          <w:spacing w:val="4"/>
          <w:sz w:val="28"/>
          <w:szCs w:val="28"/>
        </w:rPr>
        <w:t>Анализ кредитоспособности заемщика – физического лица в коммерческом банке.</w:t>
      </w:r>
    </w:p>
    <w:p w14:paraId="2490BCEC" w14:textId="77777777" w:rsidR="00D005F2" w:rsidRPr="00D005F2" w:rsidRDefault="00D005F2" w:rsidP="00D005F2">
      <w:pPr>
        <w:pStyle w:val="a9"/>
        <w:numPr>
          <w:ilvl w:val="0"/>
          <w:numId w:val="1"/>
        </w:numPr>
        <w:ind w:left="0" w:firstLine="568"/>
        <w:rPr>
          <w:sz w:val="28"/>
          <w:szCs w:val="28"/>
          <w:lang w:bidi="ar-SA"/>
        </w:rPr>
      </w:pPr>
      <w:r w:rsidRPr="00D005F2">
        <w:rPr>
          <w:sz w:val="28"/>
          <w:szCs w:val="28"/>
          <w:lang w:bidi="ar-SA"/>
        </w:rPr>
        <w:t xml:space="preserve"> Анализ кредитоспособности заемщика – юридического лица в коммерческом банке.</w:t>
      </w:r>
    </w:p>
    <w:p w14:paraId="5FAC6440" w14:textId="77777777" w:rsidR="00D005F2" w:rsidRPr="00D005F2" w:rsidRDefault="00D005F2" w:rsidP="00D005F2">
      <w:pPr>
        <w:pStyle w:val="Default"/>
        <w:numPr>
          <w:ilvl w:val="0"/>
          <w:numId w:val="1"/>
        </w:numPr>
        <w:tabs>
          <w:tab w:val="left" w:pos="709"/>
          <w:tab w:val="left" w:pos="993"/>
        </w:tabs>
        <w:ind w:left="0" w:right="97" w:firstLine="568"/>
        <w:jc w:val="both"/>
        <w:rPr>
          <w:color w:val="auto"/>
          <w:sz w:val="28"/>
          <w:szCs w:val="28"/>
        </w:rPr>
      </w:pPr>
      <w:r w:rsidRPr="00D005F2">
        <w:rPr>
          <w:color w:val="auto"/>
          <w:sz w:val="28"/>
          <w:szCs w:val="28"/>
        </w:rPr>
        <w:t>Анализ эффективности использования банками различных форм обеспечения возвратности средств при осуществлении кредитных сделок.</w:t>
      </w:r>
    </w:p>
    <w:p w14:paraId="738EE621" w14:textId="77777777" w:rsidR="00D005F2" w:rsidRPr="00D005F2" w:rsidRDefault="00D005F2" w:rsidP="00D005F2">
      <w:pPr>
        <w:pStyle w:val="Default"/>
        <w:numPr>
          <w:ilvl w:val="0"/>
          <w:numId w:val="1"/>
        </w:numPr>
        <w:tabs>
          <w:tab w:val="left" w:pos="709"/>
          <w:tab w:val="left" w:pos="993"/>
        </w:tabs>
        <w:ind w:left="0" w:right="97" w:firstLine="568"/>
        <w:jc w:val="both"/>
        <w:rPr>
          <w:color w:val="auto"/>
          <w:sz w:val="28"/>
          <w:szCs w:val="28"/>
        </w:rPr>
      </w:pPr>
      <w:r w:rsidRPr="00D005F2">
        <w:rPr>
          <w:color w:val="auto"/>
          <w:sz w:val="28"/>
          <w:szCs w:val="28"/>
        </w:rPr>
        <w:t>Особенности конституционно-правового статуса ЦБ РФ, перспективы развития.</w:t>
      </w:r>
    </w:p>
    <w:p w14:paraId="4C1F7BFF" w14:textId="77777777" w:rsidR="00D005F2" w:rsidRPr="00D005F2" w:rsidRDefault="00D005F2" w:rsidP="00D005F2">
      <w:pPr>
        <w:pStyle w:val="Default"/>
        <w:numPr>
          <w:ilvl w:val="0"/>
          <w:numId w:val="1"/>
        </w:numPr>
        <w:tabs>
          <w:tab w:val="left" w:pos="709"/>
          <w:tab w:val="left" w:pos="993"/>
        </w:tabs>
        <w:ind w:left="0" w:right="97" w:firstLine="568"/>
        <w:jc w:val="both"/>
        <w:rPr>
          <w:color w:val="auto"/>
          <w:sz w:val="28"/>
          <w:szCs w:val="28"/>
        </w:rPr>
      </w:pPr>
      <w:r w:rsidRPr="00D005F2">
        <w:rPr>
          <w:color w:val="auto"/>
          <w:sz w:val="28"/>
          <w:szCs w:val="28"/>
        </w:rPr>
        <w:t>Роль Центрального банка в обеспечении национальной безопасности.</w:t>
      </w:r>
    </w:p>
    <w:p w14:paraId="6EE4B0CA" w14:textId="77777777" w:rsidR="00D005F2" w:rsidRPr="00D005F2" w:rsidRDefault="00D005F2" w:rsidP="00D005F2">
      <w:pPr>
        <w:pStyle w:val="Default"/>
        <w:numPr>
          <w:ilvl w:val="0"/>
          <w:numId w:val="1"/>
        </w:numPr>
        <w:tabs>
          <w:tab w:val="left" w:pos="709"/>
          <w:tab w:val="left" w:pos="993"/>
        </w:tabs>
        <w:ind w:left="0" w:right="97" w:firstLine="568"/>
        <w:jc w:val="both"/>
        <w:rPr>
          <w:color w:val="auto"/>
          <w:sz w:val="28"/>
          <w:szCs w:val="28"/>
        </w:rPr>
      </w:pPr>
      <w:r w:rsidRPr="00D005F2">
        <w:rPr>
          <w:color w:val="auto"/>
          <w:sz w:val="28"/>
          <w:szCs w:val="28"/>
        </w:rPr>
        <w:t>Эффективность деятельности банковского сектора России: проблемы и перспективы.</w:t>
      </w:r>
    </w:p>
    <w:p w14:paraId="565F1657" w14:textId="77777777" w:rsidR="00D005F2" w:rsidRPr="00D005F2" w:rsidRDefault="00D005F2" w:rsidP="00D005F2">
      <w:pPr>
        <w:pStyle w:val="Default"/>
        <w:numPr>
          <w:ilvl w:val="0"/>
          <w:numId w:val="1"/>
        </w:numPr>
        <w:tabs>
          <w:tab w:val="left" w:pos="709"/>
          <w:tab w:val="left" w:pos="993"/>
        </w:tabs>
        <w:ind w:left="0" w:right="97" w:firstLine="568"/>
        <w:jc w:val="both"/>
        <w:rPr>
          <w:color w:val="auto"/>
          <w:sz w:val="28"/>
          <w:szCs w:val="28"/>
        </w:rPr>
      </w:pPr>
      <w:r w:rsidRPr="00D005F2">
        <w:rPr>
          <w:color w:val="auto"/>
          <w:sz w:val="28"/>
          <w:szCs w:val="28"/>
        </w:rPr>
        <w:t>Перспективы развития кредитования реального сектора экономики российскими коммерческими банками.</w:t>
      </w:r>
    </w:p>
    <w:p w14:paraId="18E8E33F" w14:textId="77777777" w:rsidR="00D005F2" w:rsidRPr="00D005F2" w:rsidRDefault="00D005F2" w:rsidP="00D005F2">
      <w:pPr>
        <w:pStyle w:val="Default"/>
        <w:numPr>
          <w:ilvl w:val="0"/>
          <w:numId w:val="1"/>
        </w:numPr>
        <w:tabs>
          <w:tab w:val="left" w:pos="709"/>
          <w:tab w:val="left" w:pos="993"/>
        </w:tabs>
        <w:ind w:left="0" w:right="97" w:firstLine="568"/>
        <w:jc w:val="both"/>
        <w:rPr>
          <w:color w:val="auto"/>
          <w:sz w:val="28"/>
          <w:szCs w:val="28"/>
        </w:rPr>
      </w:pPr>
      <w:r w:rsidRPr="00D005F2">
        <w:rPr>
          <w:color w:val="auto"/>
          <w:sz w:val="28"/>
          <w:szCs w:val="28"/>
        </w:rPr>
        <w:t>Антиинфляционная (дефляционная) политика Банка России и ее влияние на деятельность кредитных организаций.</w:t>
      </w:r>
    </w:p>
    <w:p w14:paraId="0B468CD8" w14:textId="77777777" w:rsidR="00262C46" w:rsidRPr="000317AD" w:rsidRDefault="00262C46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Цифровой рубль как новая форма национальной валюты.</w:t>
      </w:r>
    </w:p>
    <w:p w14:paraId="1B6DD6AA" w14:textId="77777777" w:rsidR="00262C46" w:rsidRPr="000317AD" w:rsidRDefault="00262C46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Роль Банка России в реализации функций по очищению финансового рынка от недобросовестных участников.</w:t>
      </w:r>
    </w:p>
    <w:p w14:paraId="5FD0FCFD" w14:textId="77777777" w:rsidR="00262C46" w:rsidRPr="000317AD" w:rsidRDefault="00262C46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 xml:space="preserve">Рынок криптовалюты: тенденции развития и перспективы регулирования. </w:t>
      </w:r>
    </w:p>
    <w:p w14:paraId="23C192E8" w14:textId="77777777" w:rsidR="000A1791" w:rsidRPr="000317AD" w:rsidRDefault="00537CDF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97" w:firstLine="709"/>
        <w:jc w:val="both"/>
        <w:rPr>
          <w:color w:val="auto"/>
          <w:sz w:val="28"/>
          <w:szCs w:val="28"/>
        </w:rPr>
      </w:pPr>
      <w:r w:rsidRPr="000317AD">
        <w:rPr>
          <w:color w:val="auto"/>
          <w:sz w:val="28"/>
          <w:szCs w:val="28"/>
        </w:rPr>
        <w:t>Стратегия повышения доступности финансовых услуг в регионах России (на примере конкретного региона).</w:t>
      </w:r>
    </w:p>
    <w:p w14:paraId="542D96BC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709"/>
        <w:jc w:val="both"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>Особенности финансирования бюджетных учреждений (на примере конкретной бюджетной организации).</w:t>
      </w:r>
    </w:p>
    <w:p w14:paraId="73FC9CEF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709"/>
        <w:jc w:val="both"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>Финансовое планирование в бюджетных учреждениях (на примере конкретной бюджетной организации).</w:t>
      </w:r>
    </w:p>
    <w:p w14:paraId="3D1D7995" w14:textId="77777777" w:rsidR="000A1791" w:rsidRPr="000317AD" w:rsidRDefault="00537CDF" w:rsidP="00CF49AC">
      <w:pPr>
        <w:pStyle w:val="a9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0317AD">
        <w:rPr>
          <w:sz w:val="28"/>
          <w:szCs w:val="28"/>
        </w:rPr>
        <w:t>Особенности финансового обеспечения государственных (муниципальных) учреждений (образования, культуры, здравоохранения)</w:t>
      </w:r>
      <w:r w:rsidRPr="000317AD">
        <w:t xml:space="preserve"> </w:t>
      </w:r>
      <w:r w:rsidRPr="000317AD">
        <w:rPr>
          <w:sz w:val="28"/>
          <w:szCs w:val="28"/>
        </w:rPr>
        <w:t>(на примере конкретной организации).</w:t>
      </w:r>
    </w:p>
    <w:p w14:paraId="2ECE0D3D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709"/>
        <w:jc w:val="both"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>Анализ инвестиционной привлекательности региона (муниципального образования) (на примере региона или муниципального образования).</w:t>
      </w:r>
      <w:bookmarkStart w:id="5" w:name="_Hlk136526346"/>
      <w:bookmarkEnd w:id="5"/>
    </w:p>
    <w:p w14:paraId="0F8F7245" w14:textId="77777777" w:rsidR="00262C46" w:rsidRPr="000317AD" w:rsidRDefault="00262C46" w:rsidP="00CF49AC">
      <w:pPr>
        <w:pStyle w:val="Default"/>
        <w:numPr>
          <w:ilvl w:val="0"/>
          <w:numId w:val="1"/>
        </w:numPr>
        <w:tabs>
          <w:tab w:val="left" w:pos="851"/>
          <w:tab w:val="left" w:pos="1276"/>
        </w:tabs>
        <w:ind w:left="0" w:right="-1" w:firstLine="568"/>
        <w:jc w:val="both"/>
        <w:rPr>
          <w:color w:val="auto"/>
          <w:spacing w:val="4"/>
          <w:sz w:val="28"/>
          <w:szCs w:val="28"/>
        </w:rPr>
      </w:pPr>
      <w:r w:rsidRPr="000317AD">
        <w:rPr>
          <w:color w:val="auto"/>
          <w:spacing w:val="4"/>
          <w:sz w:val="28"/>
          <w:szCs w:val="28"/>
        </w:rPr>
        <w:t>Инструменты привлечения инвестиций в инфраструктурные проекты в регионах России (на примере конкретного региона).</w:t>
      </w:r>
    </w:p>
    <w:p w14:paraId="31DEBB45" w14:textId="29A4A7CC" w:rsidR="000A1791" w:rsidRPr="000317AD" w:rsidRDefault="00537CDF" w:rsidP="00CF49AC">
      <w:pPr>
        <w:pStyle w:val="a9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0317AD">
        <w:rPr>
          <w:sz w:val="28"/>
          <w:szCs w:val="28"/>
        </w:rPr>
        <w:t xml:space="preserve">Повышение эффективности </w:t>
      </w:r>
      <w:r w:rsidR="00262C46" w:rsidRPr="000317AD">
        <w:rPr>
          <w:sz w:val="28"/>
          <w:szCs w:val="28"/>
        </w:rPr>
        <w:t>бюджетно-налоговой</w:t>
      </w:r>
      <w:r w:rsidRPr="000317AD">
        <w:rPr>
          <w:sz w:val="28"/>
          <w:szCs w:val="28"/>
        </w:rPr>
        <w:t xml:space="preserve"> политики региона (муниципального образования)</w:t>
      </w:r>
      <w:r w:rsidRPr="000317AD">
        <w:t xml:space="preserve"> </w:t>
      </w:r>
      <w:r w:rsidRPr="000317AD">
        <w:rPr>
          <w:sz w:val="28"/>
          <w:szCs w:val="28"/>
        </w:rPr>
        <w:t>(на примере региона или муниципального образования).</w:t>
      </w:r>
    </w:p>
    <w:p w14:paraId="48C3254D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709"/>
        <w:jc w:val="both"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>Анализ доходов и расходов бюджета (на примере региона или муниципального образования).</w:t>
      </w:r>
    </w:p>
    <w:p w14:paraId="017ACFA5" w14:textId="77777777" w:rsidR="000A1791" w:rsidRPr="000317AD" w:rsidRDefault="00537CDF" w:rsidP="00CF49AC">
      <w:pPr>
        <w:pStyle w:val="a9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0317AD">
        <w:rPr>
          <w:sz w:val="28"/>
          <w:szCs w:val="28"/>
        </w:rPr>
        <w:t>Формирование и исполнение доходной части бюджета субъекта Российской Федерации (муниципального образования): проблемы и пути их решения</w:t>
      </w:r>
      <w:r w:rsidRPr="000317AD">
        <w:t xml:space="preserve"> </w:t>
      </w:r>
      <w:r w:rsidRPr="000317AD">
        <w:rPr>
          <w:sz w:val="28"/>
          <w:szCs w:val="28"/>
        </w:rPr>
        <w:t>(на примере региона или муниципального образования).</w:t>
      </w:r>
    </w:p>
    <w:p w14:paraId="5F7CAA28" w14:textId="0F54A8E6" w:rsidR="000A1791" w:rsidRPr="000317AD" w:rsidRDefault="00537CDF" w:rsidP="00CF49AC">
      <w:pPr>
        <w:pStyle w:val="a9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0317AD">
        <w:rPr>
          <w:sz w:val="28"/>
          <w:szCs w:val="28"/>
        </w:rPr>
        <w:t>Анализ и оценка налоговых доходов бюджета Российской Федерации (субъекта Российской Федерации, муниципального образования) (на примере конкретного публично-правового образования).</w:t>
      </w:r>
    </w:p>
    <w:p w14:paraId="4C98A9BB" w14:textId="77777777" w:rsidR="000A1791" w:rsidRPr="000317AD" w:rsidRDefault="00537CDF" w:rsidP="00CF49AC">
      <w:pPr>
        <w:pStyle w:val="a9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0317AD">
        <w:rPr>
          <w:sz w:val="28"/>
          <w:szCs w:val="28"/>
        </w:rPr>
        <w:t>Возможности и перспективы оптимизации расходов бюджета региона (муниципального образования)</w:t>
      </w:r>
      <w:r w:rsidRPr="000317AD">
        <w:t xml:space="preserve"> </w:t>
      </w:r>
      <w:r w:rsidRPr="000317AD">
        <w:rPr>
          <w:sz w:val="28"/>
          <w:szCs w:val="28"/>
        </w:rPr>
        <w:t>(на примере региона или муниципального образования).</w:t>
      </w:r>
    </w:p>
    <w:p w14:paraId="17B45123" w14:textId="3DE03D12" w:rsidR="000A1791" w:rsidRPr="000317AD" w:rsidRDefault="00537CDF" w:rsidP="00CF49AC">
      <w:pPr>
        <w:pStyle w:val="a9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0317AD">
        <w:rPr>
          <w:sz w:val="28"/>
          <w:szCs w:val="28"/>
        </w:rPr>
        <w:t>Государственные заимствования Российской Федерации (субъекта Российской Федерации): проблемы привлечения и использования (на примере публично-правового образования).</w:t>
      </w:r>
    </w:p>
    <w:p w14:paraId="7B997C42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851"/>
          <w:tab w:val="left" w:pos="1276"/>
        </w:tabs>
        <w:ind w:left="0" w:right="97" w:firstLine="709"/>
        <w:jc w:val="both"/>
        <w:rPr>
          <w:sz w:val="28"/>
          <w:szCs w:val="28"/>
        </w:rPr>
      </w:pPr>
      <w:r w:rsidRPr="000317AD">
        <w:rPr>
          <w:sz w:val="28"/>
          <w:szCs w:val="28"/>
        </w:rPr>
        <w:t>Анализ и управление государственным долгом Российской Федерации (субъекта Российской Федерации) (на примере публично-правового образования).</w:t>
      </w:r>
    </w:p>
    <w:p w14:paraId="4A40FA4B" w14:textId="77777777" w:rsidR="000A1791" w:rsidRPr="000317AD" w:rsidRDefault="00537CDF" w:rsidP="00CF49AC">
      <w:pPr>
        <w:pStyle w:val="a9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0317AD">
        <w:rPr>
          <w:sz w:val="28"/>
          <w:szCs w:val="28"/>
        </w:rPr>
        <w:t>Анализ и управление муниципальным долгом (на примере муниципального образования).</w:t>
      </w:r>
    </w:p>
    <w:p w14:paraId="39CEF513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851"/>
          <w:tab w:val="left" w:pos="1276"/>
        </w:tabs>
        <w:ind w:left="0" w:right="97" w:firstLine="709"/>
        <w:jc w:val="both"/>
        <w:rPr>
          <w:sz w:val="28"/>
          <w:szCs w:val="28"/>
        </w:rPr>
      </w:pPr>
      <w:r w:rsidRPr="000317AD">
        <w:rPr>
          <w:sz w:val="28"/>
          <w:szCs w:val="28"/>
        </w:rPr>
        <w:t>Современное состояние, проблемы и перспективы развития межбюджетных отношений на региональном уровне.</w:t>
      </w:r>
    </w:p>
    <w:p w14:paraId="539CADF9" w14:textId="77777777" w:rsidR="000A1791" w:rsidRPr="000317AD" w:rsidRDefault="00537CDF" w:rsidP="00CF49AC">
      <w:pPr>
        <w:widowControl/>
        <w:numPr>
          <w:ilvl w:val="0"/>
          <w:numId w:val="1"/>
        </w:numPr>
        <w:tabs>
          <w:tab w:val="left" w:pos="360"/>
          <w:tab w:val="left" w:pos="851"/>
          <w:tab w:val="left" w:pos="1276"/>
        </w:tabs>
        <w:ind w:left="0" w:right="97" w:firstLine="709"/>
        <w:jc w:val="both"/>
        <w:textAlignment w:val="baseline"/>
        <w:rPr>
          <w:sz w:val="28"/>
          <w:szCs w:val="28"/>
        </w:rPr>
      </w:pPr>
      <w:r w:rsidRPr="000317AD">
        <w:rPr>
          <w:sz w:val="28"/>
          <w:szCs w:val="28"/>
        </w:rPr>
        <w:t>Оценка устойчивости бюджета региона (муниципального образования).</w:t>
      </w:r>
      <w:bookmarkEnd w:id="0"/>
    </w:p>
    <w:sectPr w:rsidR="000A1791" w:rsidRPr="000317A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949CB"/>
    <w:multiLevelType w:val="multilevel"/>
    <w:tmpl w:val="6B344A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D254AC"/>
    <w:multiLevelType w:val="multilevel"/>
    <w:tmpl w:val="3D0E8B8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  <w:strike w:val="0"/>
        <w:dstrike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73814B9"/>
    <w:multiLevelType w:val="multilevel"/>
    <w:tmpl w:val="3D0E8B8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  <w:strike w:val="0"/>
        <w:dstrike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7727553">
    <w:abstractNumId w:val="1"/>
  </w:num>
  <w:num w:numId="2" w16cid:durableId="150027344">
    <w:abstractNumId w:val="0"/>
  </w:num>
  <w:num w:numId="3" w16cid:durableId="672610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791"/>
    <w:rsid w:val="000317AD"/>
    <w:rsid w:val="000745DF"/>
    <w:rsid w:val="000A1791"/>
    <w:rsid w:val="00116C0F"/>
    <w:rsid w:val="00160E4B"/>
    <w:rsid w:val="00262C46"/>
    <w:rsid w:val="003C1D8E"/>
    <w:rsid w:val="004F65C9"/>
    <w:rsid w:val="00501664"/>
    <w:rsid w:val="00514CC5"/>
    <w:rsid w:val="00537CDF"/>
    <w:rsid w:val="007374A5"/>
    <w:rsid w:val="008F711C"/>
    <w:rsid w:val="009542FB"/>
    <w:rsid w:val="00C245CB"/>
    <w:rsid w:val="00CE193C"/>
    <w:rsid w:val="00CF49AC"/>
    <w:rsid w:val="00D005F2"/>
    <w:rsid w:val="00D10212"/>
    <w:rsid w:val="00F35FF7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0EB2"/>
  <w15:docId w15:val="{912BCC00-FA23-4529-AC44-8CF30991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6AAB"/>
    <w:pPr>
      <w:widowControl w:val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506AA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pple-converted-space">
    <w:name w:val="apple-converted-space"/>
    <w:basedOn w:val="a0"/>
    <w:qFormat/>
    <w:rsid w:val="00506AAB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uiPriority w:val="1"/>
    <w:qFormat/>
    <w:rsid w:val="00506AAB"/>
    <w:pPr>
      <w:ind w:left="379"/>
      <w:jc w:val="both"/>
    </w:pPr>
    <w:rPr>
      <w:sz w:val="28"/>
      <w:szCs w:val="28"/>
    </w:r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1"/>
    <w:qFormat/>
    <w:rsid w:val="00506AAB"/>
    <w:pPr>
      <w:ind w:left="379" w:firstLine="710"/>
      <w:jc w:val="both"/>
    </w:pPr>
  </w:style>
  <w:style w:type="paragraph" w:customStyle="1" w:styleId="1">
    <w:name w:val="Абзац списка1"/>
    <w:basedOn w:val="a"/>
    <w:uiPriority w:val="99"/>
    <w:qFormat/>
    <w:rsid w:val="00506AAB"/>
    <w:pPr>
      <w:widowControl/>
      <w:spacing w:after="200" w:line="276" w:lineRule="auto"/>
      <w:ind w:left="720"/>
      <w:contextualSpacing/>
    </w:pPr>
    <w:rPr>
      <w:rFonts w:ascii="Calibri" w:hAnsi="Calibri"/>
      <w:lang w:eastAsia="en-US" w:bidi="ar-SA"/>
    </w:rPr>
  </w:style>
  <w:style w:type="paragraph" w:customStyle="1" w:styleId="Default">
    <w:name w:val="Default"/>
    <w:qFormat/>
    <w:rsid w:val="00506AA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E116A2"/>
    <w:pPr>
      <w:widowControl/>
      <w:spacing w:beforeAutospacing="1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475867B3F6AD408B551DDAEE7A65AE" ma:contentTypeVersion="0" ma:contentTypeDescription="Создание документа." ma:contentTypeScope="" ma:versionID="c57783661a28cdc8433e1adeafa1f3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9E9DF-3D97-4821-8AE3-9BF9945D87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42458-FD67-48E2-8D90-FDCDC82694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211D5A-3AF7-4CD6-9592-8F5BFBB45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Сергей Рощектаев</cp:lastModifiedBy>
  <cp:revision>24</cp:revision>
  <dcterms:created xsi:type="dcterms:W3CDTF">2023-05-31T16:10:00Z</dcterms:created>
  <dcterms:modified xsi:type="dcterms:W3CDTF">2025-04-16T15:28:00Z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0x01010053475867B3F6AD408B551DDAEE7A65AE</vt:lpwstr>
  </property>
</Properties>
</file>